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BE9F" w14:textId="7E168E02" w:rsidR="00880645" w:rsidRPr="000E04B9" w:rsidRDefault="00880645" w:rsidP="00880645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8"/>
          <w:szCs w:val="28"/>
          <w:lang w:eastAsia="lv-LV"/>
        </w:rPr>
      </w:pPr>
      <w:r w:rsidRPr="000E04B9">
        <w:rPr>
          <w:rFonts w:eastAsia="Times New Roman"/>
          <w:bCs/>
          <w:sz w:val="28"/>
          <w:szCs w:val="28"/>
          <w:lang w:eastAsia="lv-LV"/>
        </w:rPr>
        <w:t>Likumprojekts</w:t>
      </w:r>
    </w:p>
    <w:p w14:paraId="29B0928F" w14:textId="77777777" w:rsidR="00880645" w:rsidRPr="000E04B9" w:rsidRDefault="00880645" w:rsidP="00F86467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75F345A6" w14:textId="77777777" w:rsidR="00CB313F" w:rsidRPr="000E04B9" w:rsidRDefault="00CB313F" w:rsidP="00CB3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lv-LV"/>
        </w:rPr>
      </w:pPr>
      <w:r w:rsidRPr="000E04B9">
        <w:rPr>
          <w:rFonts w:eastAsia="Times New Roman"/>
          <w:b/>
          <w:bCs/>
          <w:sz w:val="28"/>
          <w:szCs w:val="28"/>
          <w:lang w:eastAsia="lv-LV"/>
        </w:rPr>
        <w:t>Grozījumi Maksājumu pakalpojumu un elektroniskās naudas likumā</w:t>
      </w:r>
    </w:p>
    <w:p w14:paraId="10C3D902" w14:textId="2AFC97F4" w:rsidR="00CB313F" w:rsidRPr="000E04B9" w:rsidRDefault="00CB313F" w:rsidP="00CB313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lv-LV"/>
        </w:rPr>
      </w:pPr>
    </w:p>
    <w:p w14:paraId="4468E430" w14:textId="77B247F0" w:rsidR="00CB313F" w:rsidRPr="000E04B9" w:rsidRDefault="00CB313F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 xml:space="preserve">Izdarīt Maksājumu pakalpojumu un elektroniskās naudas likumā </w:t>
      </w:r>
      <w:proofErr w:type="gramStart"/>
      <w:r w:rsidRPr="000E04B9">
        <w:rPr>
          <w:rFonts w:eastAsia="Times New Roman"/>
          <w:sz w:val="28"/>
          <w:szCs w:val="28"/>
          <w:lang w:eastAsia="lv-LV"/>
        </w:rPr>
        <w:t>(</w:t>
      </w:r>
      <w:proofErr w:type="gramEnd"/>
      <w:r w:rsidRPr="000E04B9">
        <w:rPr>
          <w:rFonts w:eastAsia="Times New Roman"/>
          <w:sz w:val="28"/>
          <w:szCs w:val="28"/>
          <w:lang w:eastAsia="lv-LV"/>
        </w:rPr>
        <w:t>Latvijas Vēstnesis, 2010, 43. nr.; 2011, 52., 85</w:t>
      </w:r>
      <w:r w:rsidR="00F86467" w:rsidRPr="000E04B9">
        <w:rPr>
          <w:rFonts w:eastAsia="Times New Roman"/>
          <w:sz w:val="28"/>
          <w:szCs w:val="28"/>
          <w:lang w:eastAsia="lv-LV"/>
        </w:rPr>
        <w:t>. </w:t>
      </w:r>
      <w:r w:rsidRPr="000E04B9">
        <w:rPr>
          <w:rFonts w:eastAsia="Times New Roman"/>
          <w:sz w:val="28"/>
          <w:szCs w:val="28"/>
          <w:lang w:eastAsia="lv-LV"/>
        </w:rPr>
        <w:t>nr.; 2013, 128., 187. nr.; 2014, 92</w:t>
      </w:r>
      <w:r w:rsidR="00F86467" w:rsidRPr="000E04B9">
        <w:rPr>
          <w:rFonts w:eastAsia="Times New Roman"/>
          <w:sz w:val="28"/>
          <w:szCs w:val="28"/>
          <w:lang w:eastAsia="lv-LV"/>
        </w:rPr>
        <w:t>. </w:t>
      </w:r>
      <w:r w:rsidRPr="000E04B9">
        <w:rPr>
          <w:rFonts w:eastAsia="Times New Roman"/>
          <w:sz w:val="28"/>
          <w:szCs w:val="28"/>
          <w:lang w:eastAsia="lv-LV"/>
        </w:rPr>
        <w:t>nr.; 2015, 248</w:t>
      </w:r>
      <w:r w:rsidR="00F86467" w:rsidRPr="000E04B9">
        <w:rPr>
          <w:rFonts w:eastAsia="Times New Roman"/>
          <w:sz w:val="28"/>
          <w:szCs w:val="28"/>
          <w:lang w:eastAsia="lv-LV"/>
        </w:rPr>
        <w:t>. </w:t>
      </w:r>
      <w:r w:rsidRPr="000E04B9">
        <w:rPr>
          <w:rFonts w:eastAsia="Times New Roman"/>
          <w:sz w:val="28"/>
          <w:szCs w:val="28"/>
          <w:lang w:eastAsia="lv-LV"/>
        </w:rPr>
        <w:t>nr.; 2016, 108., 241</w:t>
      </w:r>
      <w:r w:rsidR="00F86467" w:rsidRPr="000E04B9">
        <w:rPr>
          <w:rFonts w:eastAsia="Times New Roman"/>
          <w:sz w:val="28"/>
          <w:szCs w:val="28"/>
          <w:lang w:eastAsia="lv-LV"/>
        </w:rPr>
        <w:t>. </w:t>
      </w:r>
      <w:r w:rsidRPr="000E04B9">
        <w:rPr>
          <w:rFonts w:eastAsia="Times New Roman"/>
          <w:sz w:val="28"/>
          <w:szCs w:val="28"/>
          <w:lang w:eastAsia="lv-LV"/>
        </w:rPr>
        <w:t>nr.; 2017, 54., 222. nr.</w:t>
      </w:r>
      <w:r w:rsidR="005F0136" w:rsidRPr="000E04B9">
        <w:rPr>
          <w:rFonts w:eastAsia="Times New Roman"/>
          <w:sz w:val="28"/>
          <w:szCs w:val="28"/>
          <w:lang w:eastAsia="lv-LV"/>
        </w:rPr>
        <w:t>; 2018, 132</w:t>
      </w:r>
      <w:r w:rsidR="00F86467" w:rsidRPr="000E04B9">
        <w:rPr>
          <w:rFonts w:eastAsia="Times New Roman"/>
          <w:sz w:val="28"/>
          <w:szCs w:val="28"/>
          <w:lang w:eastAsia="lv-LV"/>
        </w:rPr>
        <w:t>. </w:t>
      </w:r>
      <w:r w:rsidR="005F0136" w:rsidRPr="000E04B9">
        <w:rPr>
          <w:rFonts w:eastAsia="Times New Roman"/>
          <w:sz w:val="28"/>
          <w:szCs w:val="28"/>
          <w:lang w:eastAsia="lv-LV"/>
        </w:rPr>
        <w:t>nr.; 2019, 75</w:t>
      </w:r>
      <w:r w:rsidR="00F86467" w:rsidRPr="000E04B9">
        <w:rPr>
          <w:rFonts w:eastAsia="Times New Roman"/>
          <w:sz w:val="28"/>
          <w:szCs w:val="28"/>
          <w:lang w:eastAsia="lv-LV"/>
        </w:rPr>
        <w:t>. </w:t>
      </w:r>
      <w:r w:rsidR="005F0136" w:rsidRPr="000E04B9">
        <w:rPr>
          <w:rFonts w:eastAsia="Times New Roman"/>
          <w:sz w:val="28"/>
          <w:szCs w:val="28"/>
          <w:lang w:eastAsia="lv-LV"/>
        </w:rPr>
        <w:t>nr.</w:t>
      </w:r>
      <w:r w:rsidRPr="000E04B9">
        <w:rPr>
          <w:rFonts w:eastAsia="Times New Roman"/>
          <w:sz w:val="28"/>
          <w:szCs w:val="28"/>
          <w:lang w:eastAsia="lv-LV"/>
        </w:rPr>
        <w:t>) šādus grozījumus:</w:t>
      </w:r>
      <w:bookmarkStart w:id="0" w:name="_GoBack"/>
      <w:bookmarkEnd w:id="0"/>
    </w:p>
    <w:p w14:paraId="26D20992" w14:textId="62C5DBE9" w:rsidR="00741915" w:rsidRPr="000E04B9" w:rsidRDefault="00741915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547DEA9B" w14:textId="27826B07" w:rsidR="00741915" w:rsidRPr="000E04B9" w:rsidRDefault="00CC3928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>1. </w:t>
      </w:r>
      <w:r w:rsidR="00F86467" w:rsidRPr="000E04B9">
        <w:rPr>
          <w:rFonts w:eastAsia="Times New Roman"/>
          <w:sz w:val="28"/>
          <w:szCs w:val="28"/>
          <w:lang w:eastAsia="lv-LV"/>
        </w:rPr>
        <w:t> </w:t>
      </w:r>
      <w:r w:rsidR="00741915" w:rsidRPr="000E04B9">
        <w:rPr>
          <w:rFonts w:eastAsia="Times New Roman"/>
          <w:sz w:val="28"/>
          <w:szCs w:val="28"/>
          <w:lang w:eastAsia="lv-LV"/>
        </w:rPr>
        <w:t>56. pantā:</w:t>
      </w:r>
    </w:p>
    <w:p w14:paraId="376AE2F5" w14:textId="4A7C80CC" w:rsidR="00741915" w:rsidRPr="000E04B9" w:rsidRDefault="00741915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 xml:space="preserve">papildināt </w:t>
      </w:r>
      <w:r w:rsidR="000E04B9" w:rsidRPr="000E04B9">
        <w:rPr>
          <w:rFonts w:eastAsia="Times New Roman"/>
          <w:sz w:val="28"/>
          <w:szCs w:val="28"/>
          <w:lang w:eastAsia="lv-LV"/>
        </w:rPr>
        <w:t xml:space="preserve">pantu </w:t>
      </w:r>
      <w:r w:rsidRPr="000E04B9">
        <w:rPr>
          <w:rFonts w:eastAsia="Times New Roman"/>
          <w:sz w:val="28"/>
          <w:szCs w:val="28"/>
          <w:lang w:eastAsia="lv-LV"/>
        </w:rPr>
        <w:t>ar 2.</w:t>
      </w:r>
      <w:r w:rsidRPr="000E04B9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F86467" w:rsidRPr="000E04B9">
        <w:rPr>
          <w:rFonts w:eastAsia="Times New Roman"/>
          <w:sz w:val="28"/>
          <w:szCs w:val="28"/>
          <w:vertAlign w:val="superscript"/>
          <w:lang w:eastAsia="lv-LV"/>
        </w:rPr>
        <w:t> </w:t>
      </w:r>
      <w:r w:rsidRPr="000E04B9">
        <w:rPr>
          <w:rFonts w:eastAsia="Times New Roman"/>
          <w:sz w:val="28"/>
          <w:szCs w:val="28"/>
          <w:lang w:eastAsia="lv-LV"/>
        </w:rPr>
        <w:t>daļu šādā redakcijā:</w:t>
      </w:r>
    </w:p>
    <w:p w14:paraId="45886CB6" w14:textId="77777777" w:rsidR="00727725" w:rsidRPr="000E04B9" w:rsidRDefault="00727725" w:rsidP="007277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1A919D0F" w14:textId="171B317B" w:rsidR="00741915" w:rsidRPr="000E04B9" w:rsidRDefault="0034690A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>"</w:t>
      </w:r>
      <w:r w:rsidR="00741915" w:rsidRPr="000E04B9">
        <w:rPr>
          <w:rFonts w:eastAsia="Times New Roman"/>
          <w:sz w:val="28"/>
          <w:szCs w:val="28"/>
          <w:lang w:eastAsia="lv-LV"/>
        </w:rPr>
        <w:t>(2</w:t>
      </w:r>
      <w:r w:rsidR="00741915" w:rsidRPr="000E04B9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F86467" w:rsidRPr="000E04B9">
        <w:rPr>
          <w:sz w:val="28"/>
          <w:szCs w:val="28"/>
        </w:rPr>
        <w:t>) </w:t>
      </w:r>
      <w:r w:rsidR="00741915" w:rsidRPr="000E04B9">
        <w:rPr>
          <w:rFonts w:eastAsia="Times New Roman"/>
          <w:sz w:val="28"/>
          <w:szCs w:val="28"/>
          <w:lang w:eastAsia="lv-LV"/>
        </w:rPr>
        <w:t>Ja Komisija konstatē, ka maksājumu pakalpojumu izmantotājs vai elektroniskās naudas turētājs, kurš nav uzskatāms par patērētāju, neievēro Eiropas Savienības tieši piemērojamo</w:t>
      </w:r>
      <w:r w:rsidR="00970955" w:rsidRPr="000E04B9">
        <w:rPr>
          <w:rFonts w:eastAsia="Times New Roman"/>
          <w:sz w:val="28"/>
          <w:szCs w:val="28"/>
          <w:lang w:eastAsia="lv-LV"/>
        </w:rPr>
        <w:t>s</w:t>
      </w:r>
      <w:r w:rsidR="00741915" w:rsidRPr="000E04B9">
        <w:rPr>
          <w:rFonts w:eastAsia="Times New Roman"/>
          <w:sz w:val="28"/>
          <w:szCs w:val="28"/>
          <w:lang w:eastAsia="lv-LV"/>
        </w:rPr>
        <w:t xml:space="preserve"> tiesību akt</w:t>
      </w:r>
      <w:r w:rsidR="00970955" w:rsidRPr="000E04B9">
        <w:rPr>
          <w:rFonts w:eastAsia="Times New Roman"/>
          <w:sz w:val="28"/>
          <w:szCs w:val="28"/>
          <w:lang w:eastAsia="lv-LV"/>
        </w:rPr>
        <w:t>os</w:t>
      </w:r>
      <w:r w:rsidR="00741915" w:rsidRPr="000E04B9">
        <w:rPr>
          <w:rFonts w:eastAsia="Times New Roman"/>
          <w:sz w:val="28"/>
          <w:szCs w:val="28"/>
          <w:lang w:eastAsia="lv-LV"/>
        </w:rPr>
        <w:t xml:space="preserve"> maksājumu pakalpojumu un elektroniskās naudas jomā </w:t>
      </w:r>
      <w:r w:rsidR="00970955" w:rsidRPr="000E04B9">
        <w:rPr>
          <w:rFonts w:eastAsia="Times New Roman"/>
          <w:sz w:val="28"/>
          <w:szCs w:val="28"/>
          <w:lang w:eastAsia="lv-LV"/>
        </w:rPr>
        <w:t>noteiktās </w:t>
      </w:r>
      <w:r w:rsidR="00741915" w:rsidRPr="000E04B9">
        <w:rPr>
          <w:rFonts w:eastAsia="Times New Roman"/>
          <w:sz w:val="28"/>
          <w:szCs w:val="28"/>
          <w:lang w:eastAsia="lv-LV"/>
        </w:rPr>
        <w:t>prasības, tā ir tiesīga</w:t>
      </w:r>
      <w:proofErr w:type="gramStart"/>
      <w:r w:rsidR="00741915" w:rsidRPr="000E04B9">
        <w:rPr>
          <w:rFonts w:eastAsia="Times New Roman"/>
          <w:sz w:val="28"/>
          <w:szCs w:val="28"/>
          <w:lang w:eastAsia="lv-LV"/>
        </w:rPr>
        <w:t xml:space="preserve"> piemērot šā panta pirmās daļas 2</w:t>
      </w:r>
      <w:r w:rsidRPr="000E04B9">
        <w:rPr>
          <w:rFonts w:eastAsia="Times New Roman"/>
          <w:sz w:val="28"/>
          <w:szCs w:val="28"/>
          <w:lang w:eastAsia="lv-LV"/>
        </w:rPr>
        <w:t>.</w:t>
      </w:r>
      <w:r w:rsidR="00F86467" w:rsidRPr="000E04B9">
        <w:rPr>
          <w:rFonts w:eastAsia="Times New Roman"/>
          <w:sz w:val="28"/>
          <w:szCs w:val="28"/>
          <w:lang w:eastAsia="lv-LV"/>
        </w:rPr>
        <w:t> </w:t>
      </w:r>
      <w:r w:rsidRPr="000E04B9">
        <w:rPr>
          <w:rFonts w:eastAsia="Times New Roman"/>
          <w:sz w:val="28"/>
          <w:szCs w:val="28"/>
          <w:lang w:eastAsia="lv-LV"/>
        </w:rPr>
        <w:t>p</w:t>
      </w:r>
      <w:r w:rsidR="00741915" w:rsidRPr="000E04B9">
        <w:rPr>
          <w:rFonts w:eastAsia="Times New Roman"/>
          <w:sz w:val="28"/>
          <w:szCs w:val="28"/>
          <w:lang w:eastAsia="lv-LV"/>
        </w:rPr>
        <w:t>unkta</w:t>
      </w:r>
      <w:proofErr w:type="gramEnd"/>
      <w:r w:rsidR="00741915" w:rsidRPr="000E04B9">
        <w:rPr>
          <w:rFonts w:eastAsia="Times New Roman"/>
          <w:sz w:val="28"/>
          <w:szCs w:val="28"/>
          <w:lang w:eastAsia="lv-LV"/>
        </w:rPr>
        <w:t xml:space="preserve"> </w:t>
      </w:r>
      <w:r w:rsidR="00F86467" w:rsidRPr="000E04B9">
        <w:rPr>
          <w:rFonts w:eastAsia="Times New Roman"/>
          <w:sz w:val="28"/>
          <w:szCs w:val="28"/>
          <w:lang w:eastAsia="lv-LV"/>
        </w:rPr>
        <w:t>"a"</w:t>
      </w:r>
      <w:r w:rsidR="00741915" w:rsidRPr="000E04B9">
        <w:rPr>
          <w:rFonts w:eastAsia="Times New Roman"/>
          <w:sz w:val="28"/>
          <w:szCs w:val="28"/>
          <w:lang w:eastAsia="lv-LV"/>
        </w:rPr>
        <w:t xml:space="preserve"> un </w:t>
      </w:r>
      <w:r w:rsidR="00F86467" w:rsidRPr="000E04B9">
        <w:rPr>
          <w:rFonts w:eastAsia="Times New Roman"/>
          <w:sz w:val="28"/>
          <w:szCs w:val="28"/>
          <w:lang w:eastAsia="lv-LV"/>
        </w:rPr>
        <w:t>"c" </w:t>
      </w:r>
      <w:r w:rsidR="00741915" w:rsidRPr="000E04B9">
        <w:rPr>
          <w:rFonts w:eastAsia="Times New Roman"/>
          <w:sz w:val="28"/>
          <w:szCs w:val="28"/>
          <w:lang w:eastAsia="lv-LV"/>
        </w:rPr>
        <w:t>apakšpunktā minētās sankcijas.</w:t>
      </w:r>
      <w:r w:rsidRPr="000E04B9">
        <w:rPr>
          <w:rFonts w:eastAsia="Times New Roman"/>
          <w:sz w:val="28"/>
          <w:szCs w:val="28"/>
          <w:lang w:eastAsia="lv-LV"/>
        </w:rPr>
        <w:t>"</w:t>
      </w:r>
      <w:r w:rsidR="00343C79">
        <w:rPr>
          <w:rFonts w:eastAsia="Times New Roman"/>
          <w:sz w:val="28"/>
          <w:szCs w:val="28"/>
          <w:lang w:eastAsia="lv-LV"/>
        </w:rPr>
        <w:t>;</w:t>
      </w:r>
    </w:p>
    <w:p w14:paraId="1DBF4EB2" w14:textId="77777777" w:rsidR="00727725" w:rsidRPr="000E04B9" w:rsidRDefault="00727725" w:rsidP="007277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29E10C96" w14:textId="03EB3F73" w:rsidR="00741915" w:rsidRPr="000E04B9" w:rsidRDefault="00741915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 xml:space="preserve">aizstāt trešajā daļā vārdus </w:t>
      </w:r>
      <w:r w:rsidR="0034690A" w:rsidRPr="000E04B9">
        <w:rPr>
          <w:rFonts w:eastAsia="Times New Roman"/>
          <w:sz w:val="28"/>
          <w:szCs w:val="28"/>
          <w:lang w:eastAsia="lv-LV"/>
        </w:rPr>
        <w:t>"</w:t>
      </w:r>
      <w:r w:rsidRPr="000E04B9">
        <w:rPr>
          <w:rFonts w:eastAsia="Times New Roman"/>
          <w:sz w:val="28"/>
          <w:szCs w:val="28"/>
          <w:lang w:eastAsia="lv-LV"/>
        </w:rPr>
        <w:t>un otrās</w:t>
      </w:r>
      <w:r w:rsidR="0034690A" w:rsidRPr="000E04B9">
        <w:rPr>
          <w:rFonts w:eastAsia="Times New Roman"/>
          <w:sz w:val="28"/>
          <w:szCs w:val="28"/>
          <w:lang w:eastAsia="lv-LV"/>
        </w:rPr>
        <w:t>"</w:t>
      </w:r>
      <w:r w:rsidRPr="000E04B9">
        <w:rPr>
          <w:rFonts w:eastAsia="Times New Roman"/>
          <w:sz w:val="28"/>
          <w:szCs w:val="28"/>
          <w:lang w:eastAsia="lv-LV"/>
        </w:rPr>
        <w:t xml:space="preserve"> ar vārdiem un skait</w:t>
      </w:r>
      <w:r w:rsidR="000E04B9" w:rsidRPr="000E04B9">
        <w:rPr>
          <w:rFonts w:eastAsia="Times New Roman"/>
          <w:sz w:val="28"/>
          <w:szCs w:val="28"/>
          <w:lang w:eastAsia="lv-LV"/>
        </w:rPr>
        <w:t>li</w:t>
      </w:r>
      <w:r w:rsidRPr="000E04B9">
        <w:rPr>
          <w:rFonts w:eastAsia="Times New Roman"/>
          <w:sz w:val="28"/>
          <w:szCs w:val="28"/>
          <w:lang w:eastAsia="lv-LV"/>
        </w:rPr>
        <w:t xml:space="preserve"> </w:t>
      </w:r>
      <w:r w:rsidR="0034690A" w:rsidRPr="000E04B9">
        <w:rPr>
          <w:rFonts w:eastAsia="Times New Roman"/>
          <w:sz w:val="28"/>
          <w:szCs w:val="28"/>
          <w:lang w:eastAsia="lv-LV"/>
        </w:rPr>
        <w:t>"</w:t>
      </w:r>
      <w:r w:rsidRPr="000E04B9">
        <w:rPr>
          <w:rFonts w:eastAsia="Times New Roman"/>
          <w:sz w:val="28"/>
          <w:szCs w:val="28"/>
          <w:lang w:eastAsia="lv-LV"/>
        </w:rPr>
        <w:t>otrās un 2.</w:t>
      </w:r>
      <w:r w:rsidRPr="000E04B9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34690A" w:rsidRPr="000E04B9">
        <w:rPr>
          <w:rFonts w:eastAsia="Times New Roman"/>
          <w:sz w:val="28"/>
          <w:szCs w:val="28"/>
          <w:lang w:eastAsia="lv-LV"/>
        </w:rPr>
        <w:t>"</w:t>
      </w:r>
      <w:r w:rsidRPr="000E04B9">
        <w:rPr>
          <w:rFonts w:eastAsia="Times New Roman"/>
          <w:sz w:val="28"/>
          <w:szCs w:val="28"/>
          <w:lang w:eastAsia="lv-LV"/>
        </w:rPr>
        <w:t>.</w:t>
      </w:r>
    </w:p>
    <w:p w14:paraId="4F3ACE91" w14:textId="77777777" w:rsidR="00727725" w:rsidRPr="000E04B9" w:rsidRDefault="00727725" w:rsidP="007277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2E5A10D6" w14:textId="1E0B0A4D" w:rsidR="00E043C0" w:rsidRPr="000E04B9" w:rsidRDefault="00CC3928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>2. </w:t>
      </w:r>
      <w:r w:rsidR="00F86467" w:rsidRPr="000E04B9">
        <w:rPr>
          <w:rFonts w:eastAsia="Times New Roman"/>
          <w:sz w:val="28"/>
          <w:szCs w:val="28"/>
          <w:lang w:eastAsia="lv-LV"/>
        </w:rPr>
        <w:t> </w:t>
      </w:r>
      <w:r w:rsidR="00E043C0" w:rsidRPr="000E04B9">
        <w:rPr>
          <w:rFonts w:eastAsia="Times New Roman"/>
          <w:sz w:val="28"/>
          <w:szCs w:val="28"/>
          <w:lang w:eastAsia="lv-LV"/>
        </w:rPr>
        <w:t>105</w:t>
      </w:r>
      <w:r w:rsidR="0034690A" w:rsidRPr="000E04B9">
        <w:rPr>
          <w:rFonts w:eastAsia="Times New Roman"/>
          <w:sz w:val="28"/>
          <w:szCs w:val="28"/>
          <w:lang w:eastAsia="lv-LV"/>
        </w:rPr>
        <w:t>. p</w:t>
      </w:r>
      <w:r w:rsidR="00E043C0" w:rsidRPr="000E04B9">
        <w:rPr>
          <w:rFonts w:eastAsia="Times New Roman"/>
          <w:sz w:val="28"/>
          <w:szCs w:val="28"/>
          <w:lang w:eastAsia="lv-LV"/>
        </w:rPr>
        <w:t>antā:</w:t>
      </w:r>
    </w:p>
    <w:p w14:paraId="34FDC74A" w14:textId="2F65E7A4" w:rsidR="00272934" w:rsidRPr="000E04B9" w:rsidRDefault="00272934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>izteikt otrās daļas otro un trešo teikumu šādā redakcijā:</w:t>
      </w:r>
    </w:p>
    <w:p w14:paraId="1E136A98" w14:textId="77777777" w:rsidR="00727725" w:rsidRPr="000E04B9" w:rsidRDefault="00727725" w:rsidP="007277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26F5661E" w14:textId="06ECC57C" w:rsidR="007124A4" w:rsidRPr="000E04B9" w:rsidRDefault="0034690A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>"</w:t>
      </w:r>
      <w:r w:rsidR="007124A4" w:rsidRPr="000E04B9">
        <w:rPr>
          <w:rFonts w:eastAsia="Times New Roman"/>
          <w:sz w:val="28"/>
          <w:szCs w:val="28"/>
          <w:lang w:eastAsia="lv-LV"/>
        </w:rPr>
        <w:t>Komisija ir tiesīga uzsākt administratīvo lietu gadījumos, kad no iesniegumā sniegtās informācijas un tam pievienotajiem materiāliem izriet, ka ir pieļauts pārkāpums, kas radījis</w:t>
      </w:r>
      <w:proofErr w:type="gramStart"/>
      <w:r w:rsidR="007124A4" w:rsidRPr="000E04B9">
        <w:rPr>
          <w:rFonts w:eastAsia="Times New Roman"/>
          <w:sz w:val="28"/>
          <w:szCs w:val="28"/>
          <w:lang w:eastAsia="lv-LV"/>
        </w:rPr>
        <w:t xml:space="preserve"> vai var radīt būtisku kaitējumu</w:t>
      </w:r>
      <w:r w:rsidR="00BF2776" w:rsidRPr="000E04B9">
        <w:rPr>
          <w:rFonts w:eastAsia="Times New Roman"/>
          <w:sz w:val="28"/>
          <w:szCs w:val="28"/>
          <w:lang w:eastAsia="lv-LV"/>
        </w:rPr>
        <w:t xml:space="preserve"> </w:t>
      </w:r>
      <w:r w:rsidR="007124A4" w:rsidRPr="000E04B9">
        <w:rPr>
          <w:rFonts w:eastAsia="Times New Roman"/>
          <w:sz w:val="28"/>
          <w:szCs w:val="28"/>
          <w:lang w:eastAsia="lv-LV"/>
        </w:rPr>
        <w:t>šo pakalpojumu izmantotāju vai elektroniskās naudas turētāju</w:t>
      </w:r>
      <w:r w:rsidR="00DD74E5" w:rsidRPr="000E04B9">
        <w:rPr>
          <w:rFonts w:eastAsia="Times New Roman"/>
          <w:sz w:val="28"/>
          <w:szCs w:val="28"/>
          <w:lang w:eastAsia="lv-LV"/>
        </w:rPr>
        <w:t xml:space="preserve"> </w:t>
      </w:r>
      <w:r w:rsidR="007124A4" w:rsidRPr="000E04B9">
        <w:rPr>
          <w:rFonts w:eastAsia="Times New Roman"/>
          <w:sz w:val="28"/>
          <w:szCs w:val="28"/>
          <w:lang w:eastAsia="lv-LV"/>
        </w:rPr>
        <w:t>grupas interesēm (kolektīvajām interesēm)</w:t>
      </w:r>
      <w:r w:rsidR="00EE21A1" w:rsidRPr="000E04B9">
        <w:rPr>
          <w:rFonts w:eastAsia="Times New Roman"/>
          <w:sz w:val="28"/>
          <w:szCs w:val="28"/>
          <w:lang w:eastAsia="lv-LV"/>
        </w:rPr>
        <w:t xml:space="preserve"> vai</w:t>
      </w:r>
      <w:r w:rsidR="00AE1A69" w:rsidRPr="000E04B9">
        <w:rPr>
          <w:rFonts w:eastAsia="Times New Roman"/>
          <w:sz w:val="28"/>
          <w:szCs w:val="28"/>
          <w:lang w:eastAsia="lv-LV"/>
        </w:rPr>
        <w:t xml:space="preserve"> </w:t>
      </w:r>
      <w:r w:rsidR="00930DDF" w:rsidRPr="000E04B9">
        <w:rPr>
          <w:rFonts w:eastAsia="Times New Roman"/>
          <w:sz w:val="28"/>
          <w:szCs w:val="28"/>
          <w:lang w:eastAsia="lv-LV"/>
        </w:rPr>
        <w:t>atsevišķam</w:t>
      </w:r>
      <w:r w:rsidR="007124A4" w:rsidRPr="000E04B9">
        <w:rPr>
          <w:rFonts w:eastAsia="Times New Roman"/>
          <w:sz w:val="28"/>
          <w:szCs w:val="28"/>
          <w:lang w:eastAsia="lv-LV"/>
        </w:rPr>
        <w:t xml:space="preserve"> šo pakalpojumu izmantotāj</w:t>
      </w:r>
      <w:r w:rsidR="00930DDF" w:rsidRPr="000E04B9">
        <w:rPr>
          <w:rFonts w:eastAsia="Times New Roman"/>
          <w:sz w:val="28"/>
          <w:szCs w:val="28"/>
          <w:lang w:eastAsia="lv-LV"/>
        </w:rPr>
        <w:t>am</w:t>
      </w:r>
      <w:r w:rsidR="007124A4" w:rsidRPr="000E04B9">
        <w:rPr>
          <w:rFonts w:eastAsia="Times New Roman"/>
          <w:sz w:val="28"/>
          <w:szCs w:val="28"/>
          <w:lang w:eastAsia="lv-LV"/>
        </w:rPr>
        <w:t xml:space="preserve"> vai</w:t>
      </w:r>
      <w:r w:rsidR="00930DDF" w:rsidRPr="000E04B9">
        <w:rPr>
          <w:rFonts w:eastAsia="Times New Roman"/>
          <w:sz w:val="28"/>
          <w:szCs w:val="28"/>
          <w:lang w:eastAsia="lv-LV"/>
        </w:rPr>
        <w:t xml:space="preserve"> elektroniskās naudas turētājam</w:t>
      </w:r>
      <w:proofErr w:type="gramEnd"/>
      <w:r w:rsidR="00A43EF2" w:rsidRPr="000E04B9">
        <w:rPr>
          <w:rFonts w:eastAsia="Times New Roman"/>
          <w:sz w:val="28"/>
          <w:szCs w:val="28"/>
          <w:lang w:eastAsia="lv-LV"/>
        </w:rPr>
        <w:t>, kur</w:t>
      </w:r>
      <w:r w:rsidR="00EE21A1" w:rsidRPr="000E04B9">
        <w:rPr>
          <w:rFonts w:eastAsia="Times New Roman"/>
          <w:sz w:val="28"/>
          <w:szCs w:val="28"/>
          <w:lang w:eastAsia="lv-LV"/>
        </w:rPr>
        <w:t>š</w:t>
      </w:r>
      <w:r w:rsidR="00A43EF2" w:rsidRPr="000E04B9">
        <w:rPr>
          <w:rFonts w:eastAsia="Times New Roman"/>
          <w:sz w:val="28"/>
          <w:szCs w:val="28"/>
          <w:lang w:eastAsia="lv-LV"/>
        </w:rPr>
        <w:t xml:space="preserve"> nav uzskatām</w:t>
      </w:r>
      <w:r w:rsidR="00EE21A1" w:rsidRPr="000E04B9">
        <w:rPr>
          <w:rFonts w:eastAsia="Times New Roman"/>
          <w:sz w:val="28"/>
          <w:szCs w:val="28"/>
          <w:lang w:eastAsia="lv-LV"/>
        </w:rPr>
        <w:t>s</w:t>
      </w:r>
      <w:r w:rsidR="00A43EF2" w:rsidRPr="000E04B9">
        <w:rPr>
          <w:rFonts w:eastAsia="Times New Roman"/>
          <w:sz w:val="28"/>
          <w:szCs w:val="28"/>
          <w:lang w:eastAsia="lv-LV"/>
        </w:rPr>
        <w:t xml:space="preserve"> par patērētāj</w:t>
      </w:r>
      <w:r w:rsidR="00EE21A1" w:rsidRPr="000E04B9">
        <w:rPr>
          <w:rFonts w:eastAsia="Times New Roman"/>
          <w:sz w:val="28"/>
          <w:szCs w:val="28"/>
          <w:lang w:eastAsia="lv-LV"/>
        </w:rPr>
        <w:t>u</w:t>
      </w:r>
      <w:r w:rsidR="00272934" w:rsidRPr="000E04B9">
        <w:rPr>
          <w:rFonts w:eastAsia="Times New Roman"/>
          <w:sz w:val="28"/>
          <w:szCs w:val="28"/>
          <w:lang w:eastAsia="lv-LV"/>
        </w:rPr>
        <w:t>. Komisija</w:t>
      </w:r>
      <w:r w:rsidR="00AE1A69" w:rsidRPr="000E04B9">
        <w:rPr>
          <w:rFonts w:eastAsia="Times New Roman"/>
          <w:sz w:val="28"/>
          <w:szCs w:val="28"/>
          <w:lang w:eastAsia="lv-LV"/>
        </w:rPr>
        <w:t xml:space="preserve"> </w:t>
      </w:r>
      <w:r w:rsidR="00DD74E5" w:rsidRPr="000E04B9">
        <w:rPr>
          <w:rFonts w:eastAsia="Times New Roman"/>
          <w:sz w:val="28"/>
          <w:szCs w:val="28"/>
          <w:lang w:eastAsia="lv-LV"/>
        </w:rPr>
        <w:t xml:space="preserve">iesnieguma iesniedzējam </w:t>
      </w:r>
      <w:r w:rsidR="00EE21A1" w:rsidRPr="000E04B9">
        <w:rPr>
          <w:rFonts w:eastAsia="Times New Roman"/>
          <w:sz w:val="28"/>
          <w:szCs w:val="28"/>
          <w:lang w:eastAsia="lv-LV"/>
        </w:rPr>
        <w:t xml:space="preserve">sniedz atbildi </w:t>
      </w:r>
      <w:r w:rsidR="000C14E0" w:rsidRPr="000E04B9">
        <w:rPr>
          <w:rFonts w:eastAsia="Times New Roman"/>
          <w:sz w:val="28"/>
          <w:szCs w:val="28"/>
          <w:lang w:eastAsia="lv-LV"/>
        </w:rPr>
        <w:t>Iesniegumu likumā noteiktajā kārtībā</w:t>
      </w:r>
      <w:r w:rsidR="00272934" w:rsidRPr="000E04B9">
        <w:rPr>
          <w:rFonts w:eastAsia="Times New Roman"/>
          <w:sz w:val="28"/>
          <w:szCs w:val="28"/>
          <w:lang w:eastAsia="lv-LV"/>
        </w:rPr>
        <w:t>.</w:t>
      </w:r>
      <w:r w:rsidRPr="000E04B9">
        <w:rPr>
          <w:rFonts w:eastAsia="Times New Roman"/>
          <w:sz w:val="28"/>
          <w:szCs w:val="28"/>
          <w:lang w:eastAsia="lv-LV"/>
        </w:rPr>
        <w:t>"</w:t>
      </w:r>
      <w:r w:rsidR="00123D41" w:rsidRPr="000E04B9">
        <w:rPr>
          <w:rFonts w:eastAsia="Times New Roman"/>
          <w:sz w:val="28"/>
          <w:szCs w:val="28"/>
          <w:lang w:eastAsia="lv-LV"/>
        </w:rPr>
        <w:t>;</w:t>
      </w:r>
    </w:p>
    <w:p w14:paraId="69ECFB7E" w14:textId="77777777" w:rsidR="00727725" w:rsidRPr="000E04B9" w:rsidRDefault="00727725" w:rsidP="007277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62998F08" w14:textId="77777777" w:rsidR="00E043C0" w:rsidRPr="000E04B9" w:rsidRDefault="001626EA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>i</w:t>
      </w:r>
      <w:r w:rsidR="00E043C0" w:rsidRPr="000E04B9">
        <w:rPr>
          <w:rFonts w:eastAsia="Times New Roman"/>
          <w:sz w:val="28"/>
          <w:szCs w:val="28"/>
          <w:lang w:eastAsia="lv-LV"/>
        </w:rPr>
        <w:t>zteikt ceturtās daļas pirmo teikumu šādā redakcijā:</w:t>
      </w:r>
    </w:p>
    <w:p w14:paraId="43790C68" w14:textId="77777777" w:rsidR="00727725" w:rsidRPr="000E04B9" w:rsidRDefault="00727725" w:rsidP="007277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4DA8222F" w14:textId="32DDCEE8" w:rsidR="00272934" w:rsidRPr="000E04B9" w:rsidRDefault="0034690A" w:rsidP="0034690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E04B9">
        <w:rPr>
          <w:sz w:val="28"/>
          <w:szCs w:val="28"/>
        </w:rPr>
        <w:t>"</w:t>
      </w:r>
      <w:r w:rsidR="00272934" w:rsidRPr="000E04B9">
        <w:rPr>
          <w:sz w:val="28"/>
          <w:szCs w:val="28"/>
        </w:rPr>
        <w:t>Ja Patērētāju tiesību aizsardzības centrs, izskatot administratīvo lietu, konstatē, ka šā likuma</w:t>
      </w:r>
      <w:hyperlink r:id="rId8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VII,</w:t>
        </w:r>
      </w:hyperlink>
      <w:r w:rsidR="00F86467" w:rsidRPr="000E04B9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9" w:anchor="n9.1" w:history="1"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VIII,</w:t>
        </w:r>
      </w:hyperlink>
      <w:hyperlink r:id="rId10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IX,</w:t>
        </w:r>
      </w:hyperlink>
      <w:hyperlink r:id="rId11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IX</w:t>
        </w:r>
        <w:r w:rsidR="00272934" w:rsidRPr="000E04B9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,</w:t>
        </w:r>
      </w:hyperlink>
      <w:r w:rsidR="00F86467" w:rsidRPr="000E04B9">
        <w:rPr>
          <w:sz w:val="28"/>
          <w:szCs w:val="28"/>
        </w:rPr>
        <w:t xml:space="preserve"> </w:t>
      </w:r>
      <w:r w:rsidR="00272934" w:rsidRPr="000E04B9">
        <w:rPr>
          <w:sz w:val="28"/>
          <w:szCs w:val="28"/>
        </w:rPr>
        <w:t>X, XI, XII, XIII, XIII</w:t>
      </w:r>
      <w:r w:rsidR="00272934" w:rsidRPr="000E04B9">
        <w:rPr>
          <w:sz w:val="28"/>
          <w:szCs w:val="28"/>
          <w:vertAlign w:val="superscript"/>
        </w:rPr>
        <w:t>1</w:t>
      </w:r>
      <w:r w:rsidR="00F86467" w:rsidRPr="000E04B9">
        <w:rPr>
          <w:sz w:val="28"/>
          <w:szCs w:val="28"/>
        </w:rPr>
        <w:t xml:space="preserve"> </w:t>
      </w:r>
      <w:r w:rsidR="00272934" w:rsidRPr="000E04B9">
        <w:rPr>
          <w:sz w:val="28"/>
          <w:szCs w:val="28"/>
        </w:rPr>
        <w:t>un</w:t>
      </w:r>
      <w:hyperlink r:id="rId12" w:anchor="n14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XIV</w:t>
        </w:r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> 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nodaļas</w:t>
        </w:r>
      </w:hyperlink>
      <w:r w:rsidR="00F86467" w:rsidRPr="000E04B9">
        <w:rPr>
          <w:sz w:val="28"/>
          <w:szCs w:val="28"/>
        </w:rPr>
        <w:t xml:space="preserve"> </w:t>
      </w:r>
      <w:r w:rsidR="00272934" w:rsidRPr="000E04B9">
        <w:rPr>
          <w:sz w:val="28"/>
          <w:szCs w:val="28"/>
        </w:rPr>
        <w:t xml:space="preserve">noteikumu un Eiropas Savienības tieši piemērojamo tiesību aktu maksājumu pakalpojumu un elektroniskās naudas jomā neievērošana radījusi vai var radīt būtisku kaitējumu patērētāju grupas interesēm </w:t>
      </w:r>
      <w:proofErr w:type="gramStart"/>
      <w:r w:rsidR="00272934" w:rsidRPr="000E04B9">
        <w:rPr>
          <w:sz w:val="28"/>
          <w:szCs w:val="28"/>
        </w:rPr>
        <w:t>(</w:t>
      </w:r>
      <w:proofErr w:type="gramEnd"/>
      <w:r w:rsidR="00272934" w:rsidRPr="000E04B9">
        <w:rPr>
          <w:sz w:val="28"/>
          <w:szCs w:val="28"/>
        </w:rPr>
        <w:t>patērētāju kolektīvajām interesēm)</w:t>
      </w:r>
      <w:r w:rsidR="006914E4" w:rsidRPr="000E04B9">
        <w:rPr>
          <w:sz w:val="28"/>
          <w:szCs w:val="28"/>
        </w:rPr>
        <w:t xml:space="preserve"> </w:t>
      </w:r>
      <w:r w:rsidR="009643C4" w:rsidRPr="000E04B9">
        <w:rPr>
          <w:sz w:val="28"/>
          <w:szCs w:val="28"/>
          <w:shd w:val="clear" w:color="auto" w:fill="FFFFFF"/>
        </w:rPr>
        <w:t>vai</w:t>
      </w:r>
      <w:r w:rsidR="006914E4" w:rsidRPr="000E04B9">
        <w:rPr>
          <w:sz w:val="28"/>
          <w:szCs w:val="28"/>
          <w:shd w:val="clear" w:color="auto" w:fill="FFFFFF"/>
        </w:rPr>
        <w:t xml:space="preserve"> atsevišķam patērētājam,</w:t>
      </w:r>
      <w:r w:rsidR="00272934" w:rsidRPr="000E04B9">
        <w:rPr>
          <w:sz w:val="28"/>
          <w:szCs w:val="28"/>
        </w:rPr>
        <w:t xml:space="preserve"> tas ir tiesīgs pieņemt lēmumu, </w:t>
      </w:r>
      <w:r w:rsidR="00D520CE" w:rsidRPr="000E04B9">
        <w:rPr>
          <w:sz w:val="28"/>
          <w:szCs w:val="28"/>
        </w:rPr>
        <w:t xml:space="preserve">ar kuru uzdod maksājumu pakalpojumu sniedzējam vai izmantotājam, elektroniskās naudas emitentam vai turētājam </w:t>
      </w:r>
      <w:r w:rsidR="00272934" w:rsidRPr="000E04B9">
        <w:rPr>
          <w:sz w:val="28"/>
          <w:szCs w:val="28"/>
        </w:rPr>
        <w:t>izbeigt šā likuma</w:t>
      </w:r>
      <w:hyperlink r:id="rId13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VII,</w:t>
        </w:r>
      </w:hyperlink>
      <w:hyperlink r:id="rId14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VIII,</w:t>
        </w:r>
      </w:hyperlink>
      <w:hyperlink r:id="rId15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IX,</w:t>
        </w:r>
      </w:hyperlink>
      <w:hyperlink r:id="rId16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IX</w:t>
        </w:r>
        <w:r w:rsidR="00272934" w:rsidRPr="000E04B9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,</w:t>
        </w:r>
      </w:hyperlink>
      <w:r w:rsidR="00F86467" w:rsidRPr="000E04B9">
        <w:rPr>
          <w:sz w:val="28"/>
          <w:szCs w:val="28"/>
        </w:rPr>
        <w:t xml:space="preserve"> </w:t>
      </w:r>
      <w:r w:rsidR="00272934" w:rsidRPr="000E04B9">
        <w:rPr>
          <w:sz w:val="28"/>
          <w:szCs w:val="28"/>
        </w:rPr>
        <w:t>X, XI, XII, XIII, XIII</w:t>
      </w:r>
      <w:r w:rsidR="00272934" w:rsidRPr="000E04B9">
        <w:rPr>
          <w:sz w:val="28"/>
          <w:szCs w:val="28"/>
          <w:vertAlign w:val="superscript"/>
        </w:rPr>
        <w:t>1</w:t>
      </w:r>
      <w:r w:rsidR="00F86467" w:rsidRPr="000E04B9">
        <w:rPr>
          <w:sz w:val="28"/>
          <w:szCs w:val="28"/>
        </w:rPr>
        <w:t xml:space="preserve"> </w:t>
      </w:r>
      <w:r w:rsidR="00272934" w:rsidRPr="000E04B9">
        <w:rPr>
          <w:sz w:val="28"/>
          <w:szCs w:val="28"/>
        </w:rPr>
        <w:t>un</w:t>
      </w:r>
      <w:hyperlink r:id="rId17" w:anchor="n14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272934" w:rsidRPr="000E04B9">
          <w:rPr>
            <w:rStyle w:val="Hyperlink"/>
            <w:color w:val="auto"/>
            <w:sz w:val="28"/>
            <w:szCs w:val="28"/>
            <w:u w:val="none"/>
          </w:rPr>
          <w:t>XIV nodaļas</w:t>
        </w:r>
      </w:hyperlink>
      <w:r w:rsidR="00F86467" w:rsidRPr="000E04B9">
        <w:rPr>
          <w:sz w:val="28"/>
          <w:szCs w:val="28"/>
        </w:rPr>
        <w:t xml:space="preserve"> </w:t>
      </w:r>
      <w:r w:rsidR="00272934" w:rsidRPr="000E04B9">
        <w:rPr>
          <w:sz w:val="28"/>
          <w:szCs w:val="28"/>
        </w:rPr>
        <w:t>noteikumu un Eiropas Savienības tieši piemērojamo tiesību aktu maksājumu pakalpojumu un elektroniskās naudas jomā neievērošanu vai novērst pieļautos pārkāpumus un noteikt šai nolūkā nepieciešamo darbību izpildes termiņu.</w:t>
      </w:r>
      <w:r w:rsidRPr="000E04B9">
        <w:rPr>
          <w:sz w:val="28"/>
          <w:szCs w:val="28"/>
        </w:rPr>
        <w:t>"</w:t>
      </w:r>
      <w:r w:rsidR="00D520CE" w:rsidRPr="000E04B9">
        <w:rPr>
          <w:sz w:val="28"/>
          <w:szCs w:val="28"/>
        </w:rPr>
        <w:t>;</w:t>
      </w:r>
    </w:p>
    <w:p w14:paraId="15DDC062" w14:textId="77777777" w:rsidR="00727725" w:rsidRPr="000E04B9" w:rsidRDefault="00727725" w:rsidP="007277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501777C7" w14:textId="192355F3" w:rsidR="00D520CE" w:rsidRPr="000E04B9" w:rsidRDefault="00D520CE" w:rsidP="0034690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E04B9">
        <w:rPr>
          <w:sz w:val="28"/>
          <w:szCs w:val="28"/>
        </w:rPr>
        <w:t>izteikt piekto daļu šādā redakcijā:</w:t>
      </w:r>
    </w:p>
    <w:p w14:paraId="68E982D0" w14:textId="77777777" w:rsidR="00727725" w:rsidRPr="000E04B9" w:rsidRDefault="00727725" w:rsidP="007277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lv-LV"/>
        </w:rPr>
      </w:pPr>
    </w:p>
    <w:p w14:paraId="6610BE42" w14:textId="416A5676" w:rsidR="007474EF" w:rsidRPr="000E04B9" w:rsidRDefault="0034690A" w:rsidP="0034690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E04B9">
        <w:rPr>
          <w:sz w:val="28"/>
          <w:szCs w:val="28"/>
        </w:rPr>
        <w:t>"</w:t>
      </w:r>
      <w:r w:rsidR="007474EF" w:rsidRPr="000E04B9">
        <w:rPr>
          <w:sz w:val="28"/>
          <w:szCs w:val="28"/>
        </w:rPr>
        <w:t>(5)</w:t>
      </w:r>
      <w:r w:rsidR="00F86467" w:rsidRPr="000E04B9">
        <w:rPr>
          <w:sz w:val="28"/>
          <w:szCs w:val="28"/>
        </w:rPr>
        <w:t> </w:t>
      </w:r>
      <w:r w:rsidR="007474EF" w:rsidRPr="000E04B9">
        <w:rPr>
          <w:sz w:val="28"/>
          <w:szCs w:val="28"/>
        </w:rPr>
        <w:t>Komisija</w:t>
      </w:r>
      <w:r w:rsidR="0030787F" w:rsidRPr="000E04B9">
        <w:rPr>
          <w:sz w:val="28"/>
          <w:szCs w:val="28"/>
        </w:rPr>
        <w:t>,</w:t>
      </w:r>
      <w:r w:rsidR="007474EF" w:rsidRPr="000E04B9">
        <w:rPr>
          <w:sz w:val="28"/>
          <w:szCs w:val="28"/>
        </w:rPr>
        <w:t xml:space="preserve"> izskatot administratīvo lietu,</w:t>
      </w:r>
      <w:r w:rsidR="00A97853" w:rsidRPr="000E04B9">
        <w:rPr>
          <w:sz w:val="28"/>
          <w:szCs w:val="28"/>
        </w:rPr>
        <w:t xml:space="preserve"> saskaņā ar šā panta otro daļu</w:t>
      </w:r>
      <w:r w:rsidR="007474EF" w:rsidRPr="000E04B9">
        <w:rPr>
          <w:sz w:val="28"/>
          <w:szCs w:val="28"/>
        </w:rPr>
        <w:t xml:space="preserve"> ir tiesīga pieņemt lēmumu, </w:t>
      </w:r>
      <w:r w:rsidR="00D520CE" w:rsidRPr="000E04B9">
        <w:rPr>
          <w:sz w:val="28"/>
          <w:szCs w:val="28"/>
        </w:rPr>
        <w:t>ar kuru uzdod maksājumu pakalpojumu sniedzējam vai izmantotājam, elektroniskās naudas emitentam vai turētājam</w:t>
      </w:r>
      <w:r w:rsidR="007474EF" w:rsidRPr="000E04B9">
        <w:rPr>
          <w:sz w:val="28"/>
          <w:szCs w:val="28"/>
        </w:rPr>
        <w:t xml:space="preserve"> izbeigt šā likuma</w:t>
      </w:r>
      <w:hyperlink r:id="rId18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VII,</w:t>
        </w:r>
      </w:hyperlink>
      <w:hyperlink r:id="rId19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VIII,</w:t>
        </w:r>
      </w:hyperlink>
      <w:hyperlink r:id="rId20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IX,</w:t>
        </w:r>
      </w:hyperlink>
      <w:hyperlink r:id="rId21" w:anchor="n9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IX</w:t>
        </w:r>
        <w:r w:rsidR="007474EF" w:rsidRPr="000E04B9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,</w:t>
        </w:r>
      </w:hyperlink>
      <w:hyperlink r:id="rId22" w:anchor="n13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X,</w:t>
        </w:r>
      </w:hyperlink>
      <w:hyperlink r:id="rId23" w:anchor="n13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XI,</w:t>
        </w:r>
      </w:hyperlink>
      <w:hyperlink r:id="rId24" w:anchor="n13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XII,</w:t>
        </w:r>
      </w:hyperlink>
      <w:hyperlink r:id="rId25" w:anchor="n13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XIII,</w:t>
        </w:r>
      </w:hyperlink>
      <w:hyperlink r:id="rId26" w:anchor="n13.1" w:history="1">
        <w:r w:rsidR="00F86467" w:rsidRPr="000E04B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XIII</w:t>
        </w:r>
        <w:r w:rsidR="007474EF" w:rsidRPr="000E04B9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,</w:t>
        </w:r>
      </w:hyperlink>
      <w:r w:rsidR="00CF3D07" w:rsidRPr="000E04B9">
        <w:rPr>
          <w:sz w:val="28"/>
          <w:szCs w:val="28"/>
        </w:rPr>
        <w:t xml:space="preserve"> </w:t>
      </w:r>
      <w:hyperlink r:id="rId27" w:anchor="n14" w:history="1">
        <w:r w:rsidR="007474EF" w:rsidRPr="000E04B9">
          <w:rPr>
            <w:rStyle w:val="Hyperlink"/>
            <w:color w:val="auto"/>
            <w:sz w:val="28"/>
            <w:szCs w:val="28"/>
            <w:u w:val="none"/>
          </w:rPr>
          <w:t>XIV</w:t>
        </w:r>
      </w:hyperlink>
      <w:r w:rsidR="00F86467" w:rsidRPr="000E04B9">
        <w:rPr>
          <w:rStyle w:val="Hyperlink"/>
          <w:color w:val="auto"/>
          <w:sz w:val="28"/>
          <w:szCs w:val="28"/>
          <w:u w:val="none"/>
        </w:rPr>
        <w:t xml:space="preserve"> </w:t>
      </w:r>
      <w:r w:rsidR="007474EF" w:rsidRPr="000E04B9">
        <w:rPr>
          <w:sz w:val="28"/>
          <w:szCs w:val="28"/>
        </w:rPr>
        <w:t>un XIV</w:t>
      </w:r>
      <w:r w:rsidR="007474EF" w:rsidRPr="000E04B9">
        <w:rPr>
          <w:sz w:val="28"/>
          <w:szCs w:val="28"/>
          <w:vertAlign w:val="superscript"/>
        </w:rPr>
        <w:t>1</w:t>
      </w:r>
      <w:r w:rsidR="00F86467" w:rsidRPr="000E04B9">
        <w:rPr>
          <w:sz w:val="28"/>
          <w:szCs w:val="28"/>
          <w:vertAlign w:val="superscript"/>
        </w:rPr>
        <w:t> </w:t>
      </w:r>
      <w:r w:rsidR="007474EF" w:rsidRPr="000E04B9">
        <w:rPr>
          <w:sz w:val="28"/>
          <w:szCs w:val="28"/>
        </w:rPr>
        <w:t>nodaļas noteikumu un Eiropas Savienības tieši piemērojamo tiesību aktu maksājumu pakalpojumu un elektroniskās naudas jomā neievērošanu vai novērst pieļautos pārkāpumus, un noteikt šim nolūkam nepieciešamo darbību izpildes termiņu.</w:t>
      </w:r>
      <w:r w:rsidRPr="000E04B9">
        <w:rPr>
          <w:sz w:val="28"/>
          <w:szCs w:val="28"/>
        </w:rPr>
        <w:t>"</w:t>
      </w:r>
    </w:p>
    <w:p w14:paraId="627BFEDE" w14:textId="33928E25" w:rsidR="00272934" w:rsidRPr="000E04B9" w:rsidRDefault="00272934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1863F8A9" w14:textId="04079A1E" w:rsidR="00C76BCF" w:rsidRPr="000E04B9" w:rsidRDefault="00C76BCF" w:rsidP="003469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0E04B9">
        <w:rPr>
          <w:rFonts w:eastAsia="Times New Roman"/>
          <w:sz w:val="28"/>
          <w:szCs w:val="28"/>
          <w:lang w:eastAsia="lv-LV"/>
        </w:rPr>
        <w:t xml:space="preserve">Likums stājas spēkā nākamajā dienā pēc </w:t>
      </w:r>
      <w:r w:rsidR="00727725" w:rsidRPr="000E04B9">
        <w:rPr>
          <w:rFonts w:eastAsia="Times New Roman"/>
          <w:sz w:val="28"/>
          <w:szCs w:val="28"/>
          <w:lang w:eastAsia="lv-LV"/>
        </w:rPr>
        <w:t xml:space="preserve">tā </w:t>
      </w:r>
      <w:r w:rsidRPr="000E04B9">
        <w:rPr>
          <w:rFonts w:eastAsia="Times New Roman"/>
          <w:sz w:val="28"/>
          <w:szCs w:val="28"/>
          <w:lang w:eastAsia="lv-LV"/>
        </w:rPr>
        <w:t>izsludināšanas.</w:t>
      </w:r>
    </w:p>
    <w:p w14:paraId="01B5CC59" w14:textId="77777777" w:rsidR="0034690A" w:rsidRPr="000E04B9" w:rsidRDefault="0034690A" w:rsidP="0034690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66D3039" w14:textId="77777777" w:rsidR="0034690A" w:rsidRPr="000E04B9" w:rsidRDefault="0034690A" w:rsidP="0034690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5DFD5E6" w14:textId="77777777" w:rsidR="0034690A" w:rsidRPr="000E04B9" w:rsidRDefault="0034690A" w:rsidP="0034690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03834C8" w14:textId="77777777" w:rsidR="0034690A" w:rsidRPr="000E04B9" w:rsidRDefault="0034690A" w:rsidP="0034690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E04B9">
        <w:rPr>
          <w:sz w:val="28"/>
          <w:szCs w:val="28"/>
        </w:rPr>
        <w:t>Finanšu ministrs</w:t>
      </w:r>
    </w:p>
    <w:p w14:paraId="471DA535" w14:textId="146E22C2" w:rsidR="0034690A" w:rsidRPr="000E04B9" w:rsidRDefault="0034690A" w:rsidP="0034690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E04B9">
        <w:rPr>
          <w:sz w:val="28"/>
          <w:szCs w:val="28"/>
        </w:rPr>
        <w:t>J. Reirs</w:t>
      </w:r>
    </w:p>
    <w:sectPr w:rsidR="0034690A" w:rsidRPr="000E04B9" w:rsidSect="0034690A">
      <w:headerReference w:type="default" r:id="rId28"/>
      <w:footerReference w:type="default" r:id="rId29"/>
      <w:footerReference w:type="first" r:id="rId3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CAF73" w14:textId="77777777" w:rsidR="00F32B6D" w:rsidRDefault="00F32B6D" w:rsidP="005F0136">
      <w:pPr>
        <w:spacing w:after="0" w:line="240" w:lineRule="auto"/>
      </w:pPr>
      <w:r>
        <w:separator/>
      </w:r>
    </w:p>
  </w:endnote>
  <w:endnote w:type="continuationSeparator" w:id="0">
    <w:p w14:paraId="7A376733" w14:textId="77777777" w:rsidR="00F32B6D" w:rsidRDefault="00F32B6D" w:rsidP="005F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6D3D" w14:textId="77777777" w:rsidR="0034690A" w:rsidRPr="0034690A" w:rsidRDefault="0034690A" w:rsidP="0034690A">
    <w:pPr>
      <w:pStyle w:val="Footer"/>
      <w:rPr>
        <w:sz w:val="16"/>
        <w:szCs w:val="16"/>
      </w:rPr>
    </w:pPr>
    <w:r>
      <w:rPr>
        <w:sz w:val="16"/>
        <w:szCs w:val="16"/>
      </w:rPr>
      <w:t>L1731_9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01C2" w14:textId="645F5FA0" w:rsidR="0034690A" w:rsidRPr="0034690A" w:rsidRDefault="0034690A">
    <w:pPr>
      <w:pStyle w:val="Footer"/>
      <w:rPr>
        <w:sz w:val="16"/>
        <w:szCs w:val="16"/>
      </w:rPr>
    </w:pPr>
    <w:r>
      <w:rPr>
        <w:sz w:val="16"/>
        <w:szCs w:val="16"/>
      </w:rPr>
      <w:t xml:space="preserve">L1731_9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43C79">
      <w:rPr>
        <w:noProof/>
        <w:sz w:val="16"/>
        <w:szCs w:val="16"/>
      </w:rPr>
      <w:t>404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AC95" w14:textId="77777777" w:rsidR="00F32B6D" w:rsidRDefault="00F32B6D" w:rsidP="005F0136">
      <w:pPr>
        <w:spacing w:after="0" w:line="240" w:lineRule="auto"/>
      </w:pPr>
      <w:r>
        <w:separator/>
      </w:r>
    </w:p>
  </w:footnote>
  <w:footnote w:type="continuationSeparator" w:id="0">
    <w:p w14:paraId="586B09B0" w14:textId="77777777" w:rsidR="00F32B6D" w:rsidRDefault="00F32B6D" w:rsidP="005F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407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74DF3" w14:textId="732F8421" w:rsidR="00905CAC" w:rsidRDefault="00905C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153"/>
    <w:multiLevelType w:val="hybridMultilevel"/>
    <w:tmpl w:val="59242B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0A45"/>
    <w:multiLevelType w:val="hybridMultilevel"/>
    <w:tmpl w:val="4EA69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3F9F"/>
    <w:multiLevelType w:val="hybridMultilevel"/>
    <w:tmpl w:val="383CC0B2"/>
    <w:lvl w:ilvl="0" w:tplc="AB7079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3F"/>
    <w:rsid w:val="000314C6"/>
    <w:rsid w:val="000B114C"/>
    <w:rsid w:val="000B5C86"/>
    <w:rsid w:val="000C14E0"/>
    <w:rsid w:val="000C3CBF"/>
    <w:rsid w:val="000E04B9"/>
    <w:rsid w:val="00123D41"/>
    <w:rsid w:val="00142EA5"/>
    <w:rsid w:val="0016020C"/>
    <w:rsid w:val="001626EA"/>
    <w:rsid w:val="001A608E"/>
    <w:rsid w:val="00203141"/>
    <w:rsid w:val="0020599B"/>
    <w:rsid w:val="00207865"/>
    <w:rsid w:val="00216456"/>
    <w:rsid w:val="00272934"/>
    <w:rsid w:val="002A09C7"/>
    <w:rsid w:val="002C0611"/>
    <w:rsid w:val="00306B2B"/>
    <w:rsid w:val="0030787F"/>
    <w:rsid w:val="00343C79"/>
    <w:rsid w:val="0034690A"/>
    <w:rsid w:val="00365B71"/>
    <w:rsid w:val="00371DE4"/>
    <w:rsid w:val="00392F41"/>
    <w:rsid w:val="00467396"/>
    <w:rsid w:val="004712FA"/>
    <w:rsid w:val="00491CAA"/>
    <w:rsid w:val="004927FF"/>
    <w:rsid w:val="004B406C"/>
    <w:rsid w:val="004D42B4"/>
    <w:rsid w:val="00502E06"/>
    <w:rsid w:val="005037F8"/>
    <w:rsid w:val="005044AA"/>
    <w:rsid w:val="00504F70"/>
    <w:rsid w:val="005054CD"/>
    <w:rsid w:val="00511E93"/>
    <w:rsid w:val="00525624"/>
    <w:rsid w:val="0055484C"/>
    <w:rsid w:val="0055495B"/>
    <w:rsid w:val="00575E5A"/>
    <w:rsid w:val="005778D7"/>
    <w:rsid w:val="00583175"/>
    <w:rsid w:val="005B6E9E"/>
    <w:rsid w:val="005C4A7C"/>
    <w:rsid w:val="005E7E88"/>
    <w:rsid w:val="005F0136"/>
    <w:rsid w:val="005F1A3B"/>
    <w:rsid w:val="00635E4C"/>
    <w:rsid w:val="00665890"/>
    <w:rsid w:val="006914E4"/>
    <w:rsid w:val="006A5324"/>
    <w:rsid w:val="006B2621"/>
    <w:rsid w:val="006F4576"/>
    <w:rsid w:val="007124A4"/>
    <w:rsid w:val="00727725"/>
    <w:rsid w:val="00741915"/>
    <w:rsid w:val="007474EF"/>
    <w:rsid w:val="007974BC"/>
    <w:rsid w:val="007B6E97"/>
    <w:rsid w:val="007D415C"/>
    <w:rsid w:val="007F50CD"/>
    <w:rsid w:val="00812936"/>
    <w:rsid w:val="00817CAB"/>
    <w:rsid w:val="0082279A"/>
    <w:rsid w:val="00843A77"/>
    <w:rsid w:val="00846F88"/>
    <w:rsid w:val="0086712F"/>
    <w:rsid w:val="00880645"/>
    <w:rsid w:val="00905CAC"/>
    <w:rsid w:val="009222C0"/>
    <w:rsid w:val="00930DDF"/>
    <w:rsid w:val="009643C4"/>
    <w:rsid w:val="00970955"/>
    <w:rsid w:val="009D0B1A"/>
    <w:rsid w:val="00A207ED"/>
    <w:rsid w:val="00A42BEE"/>
    <w:rsid w:val="00A43EF2"/>
    <w:rsid w:val="00A70317"/>
    <w:rsid w:val="00A97853"/>
    <w:rsid w:val="00AA3C06"/>
    <w:rsid w:val="00AD5600"/>
    <w:rsid w:val="00AE0126"/>
    <w:rsid w:val="00AE1A69"/>
    <w:rsid w:val="00AE779A"/>
    <w:rsid w:val="00B05302"/>
    <w:rsid w:val="00B1206D"/>
    <w:rsid w:val="00B15DD1"/>
    <w:rsid w:val="00B40475"/>
    <w:rsid w:val="00B517FB"/>
    <w:rsid w:val="00B57773"/>
    <w:rsid w:val="00B624FC"/>
    <w:rsid w:val="00B666B2"/>
    <w:rsid w:val="00BC5435"/>
    <w:rsid w:val="00BF2776"/>
    <w:rsid w:val="00C37BEA"/>
    <w:rsid w:val="00C53E43"/>
    <w:rsid w:val="00C62A02"/>
    <w:rsid w:val="00C76BCF"/>
    <w:rsid w:val="00CB313F"/>
    <w:rsid w:val="00CC3928"/>
    <w:rsid w:val="00CD52D1"/>
    <w:rsid w:val="00CE5748"/>
    <w:rsid w:val="00CF3D07"/>
    <w:rsid w:val="00D02863"/>
    <w:rsid w:val="00D179CC"/>
    <w:rsid w:val="00D451E3"/>
    <w:rsid w:val="00D5151C"/>
    <w:rsid w:val="00D520CE"/>
    <w:rsid w:val="00D83A56"/>
    <w:rsid w:val="00DA5B03"/>
    <w:rsid w:val="00DD43B3"/>
    <w:rsid w:val="00DD74E5"/>
    <w:rsid w:val="00DE5CCA"/>
    <w:rsid w:val="00E043C0"/>
    <w:rsid w:val="00E07D3B"/>
    <w:rsid w:val="00E25797"/>
    <w:rsid w:val="00E40FE5"/>
    <w:rsid w:val="00E46241"/>
    <w:rsid w:val="00E46732"/>
    <w:rsid w:val="00E83ACC"/>
    <w:rsid w:val="00E83AE8"/>
    <w:rsid w:val="00E851F3"/>
    <w:rsid w:val="00EA19D9"/>
    <w:rsid w:val="00EB6D8E"/>
    <w:rsid w:val="00EC1661"/>
    <w:rsid w:val="00EE21A1"/>
    <w:rsid w:val="00EF6282"/>
    <w:rsid w:val="00F07326"/>
    <w:rsid w:val="00F32B6D"/>
    <w:rsid w:val="00F86467"/>
    <w:rsid w:val="00FB3799"/>
    <w:rsid w:val="00FE31BA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684BBF"/>
  <w15:docId w15:val="{102ED9DA-7C83-4B13-8637-B7060B95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36"/>
  </w:style>
  <w:style w:type="paragraph" w:styleId="Footer">
    <w:name w:val="footer"/>
    <w:basedOn w:val="Normal"/>
    <w:link w:val="Foot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36"/>
  </w:style>
  <w:style w:type="character" w:styleId="Hyperlink">
    <w:name w:val="Hyperlink"/>
    <w:basedOn w:val="DefaultParagraphFont"/>
    <w:uiPriority w:val="99"/>
    <w:unhideWhenUsed/>
    <w:rsid w:val="00E04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626EA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7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5A"/>
    <w:rPr>
      <w:b/>
      <w:bCs/>
      <w:sz w:val="20"/>
      <w:szCs w:val="20"/>
    </w:rPr>
  </w:style>
  <w:style w:type="paragraph" w:customStyle="1" w:styleId="naisf">
    <w:name w:val="naisf"/>
    <w:basedOn w:val="Normal"/>
    <w:rsid w:val="0034690A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6634" TargetMode="External"/><Relationship Id="rId13" Type="http://schemas.openxmlformats.org/officeDocument/2006/relationships/hyperlink" Target="https://likumi.lv/ta/id/206634" TargetMode="External"/><Relationship Id="rId18" Type="http://schemas.openxmlformats.org/officeDocument/2006/relationships/hyperlink" Target="https://likumi.lv/ta/id/206634" TargetMode="External"/><Relationship Id="rId26" Type="http://schemas.openxmlformats.org/officeDocument/2006/relationships/hyperlink" Target="https://likumi.lv/ta/id/2066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kumi.lv/ta/id/2066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206634" TargetMode="External"/><Relationship Id="rId17" Type="http://schemas.openxmlformats.org/officeDocument/2006/relationships/hyperlink" Target="https://likumi.lv/ta/id/206634" TargetMode="External"/><Relationship Id="rId25" Type="http://schemas.openxmlformats.org/officeDocument/2006/relationships/hyperlink" Target="https://likumi.lv/ta/id/2066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06634" TargetMode="External"/><Relationship Id="rId20" Type="http://schemas.openxmlformats.org/officeDocument/2006/relationships/hyperlink" Target="https://likumi.lv/ta/id/20663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06634" TargetMode="External"/><Relationship Id="rId24" Type="http://schemas.openxmlformats.org/officeDocument/2006/relationships/hyperlink" Target="https://likumi.lv/ta/id/2066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06634" TargetMode="External"/><Relationship Id="rId23" Type="http://schemas.openxmlformats.org/officeDocument/2006/relationships/hyperlink" Target="https://likumi.lv/ta/id/2066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ikumi.lv/ta/id/206634" TargetMode="External"/><Relationship Id="rId19" Type="http://schemas.openxmlformats.org/officeDocument/2006/relationships/hyperlink" Target="https://likumi.lv/ta/id/2066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06634" TargetMode="External"/><Relationship Id="rId14" Type="http://schemas.openxmlformats.org/officeDocument/2006/relationships/hyperlink" Target="https://likumi.lv/ta/id/206634" TargetMode="External"/><Relationship Id="rId22" Type="http://schemas.openxmlformats.org/officeDocument/2006/relationships/hyperlink" Target="https://likumi.lv/ta/id/206634" TargetMode="External"/><Relationship Id="rId27" Type="http://schemas.openxmlformats.org/officeDocument/2006/relationships/hyperlink" Target="https://likumi.lv/ta/id/206634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6E6F-1736-4EAA-8FCD-842C6705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561</Words>
  <Characters>3580</Characters>
  <Application>Microsoft Office Word</Application>
  <DocSecurity>0</DocSecurity>
  <Lines>87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Maksājumu pakalpojumu un elektroniskās naudas likumā"</vt:lpstr>
    </vt:vector>
  </TitlesOfParts>
  <Company>Finanšu Ministrija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Maksājumu pakalpojumu un elektroniskās naudas likumā"</dc:title>
  <dc:creator>Kristaps Ziediņš</dc:creator>
  <dc:description>67095600, kristaps.ziedins@fm.gov.lv</dc:description>
  <cp:lastModifiedBy>Inese Lismane</cp:lastModifiedBy>
  <cp:revision>27</cp:revision>
  <cp:lastPrinted>2019-09-25T07:41:00Z</cp:lastPrinted>
  <dcterms:created xsi:type="dcterms:W3CDTF">2019-09-04T07:42:00Z</dcterms:created>
  <dcterms:modified xsi:type="dcterms:W3CDTF">2019-09-25T07:43:00Z</dcterms:modified>
</cp:coreProperties>
</file>